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Default="00ED2E51" w:rsidP="00ED2E51">
      <w:pPr>
        <w:jc w:val="center"/>
        <w:rPr>
          <w:rFonts w:ascii="Times New Roman" w:hAnsi="Times New Roman" w:cs="Times New Roman"/>
          <w:sz w:val="24"/>
          <w:szCs w:val="24"/>
        </w:rPr>
      </w:pPr>
    </w:p>
    <w:p w:rsidR="00ED2E51" w:rsidRPr="00ED2E51" w:rsidRDefault="00ED2E51" w:rsidP="00ED2E51">
      <w:pPr>
        <w:jc w:val="center"/>
        <w:rPr>
          <w:rFonts w:ascii="Times New Roman" w:hAnsi="Times New Roman" w:cs="Times New Roman"/>
          <w:sz w:val="24"/>
          <w:szCs w:val="24"/>
        </w:rPr>
      </w:pPr>
      <w:r w:rsidRPr="00ED2E51">
        <w:rPr>
          <w:rFonts w:ascii="Times New Roman" w:hAnsi="Times New Roman" w:cs="Times New Roman"/>
          <w:sz w:val="24"/>
          <w:szCs w:val="24"/>
        </w:rPr>
        <w:t>Balancing Hipaa and Public Safety</w:t>
      </w:r>
    </w:p>
    <w:p w:rsidR="00ED2E51" w:rsidRPr="00ED2E51" w:rsidRDefault="00ED2E51" w:rsidP="00ED2E51">
      <w:pPr>
        <w:jc w:val="center"/>
        <w:rPr>
          <w:rFonts w:ascii="Times New Roman" w:hAnsi="Times New Roman" w:cs="Times New Roman"/>
          <w:sz w:val="24"/>
          <w:szCs w:val="24"/>
        </w:rPr>
      </w:pPr>
      <w:r w:rsidRPr="00ED2E51">
        <w:rPr>
          <w:rFonts w:ascii="Times New Roman" w:hAnsi="Times New Roman" w:cs="Times New Roman"/>
          <w:sz w:val="24"/>
          <w:szCs w:val="24"/>
        </w:rPr>
        <w:t>Student’s Name</w:t>
      </w:r>
    </w:p>
    <w:p w:rsidR="00ED2E51" w:rsidRPr="00ED2E51" w:rsidRDefault="00ED2E51" w:rsidP="00ED2E51">
      <w:pPr>
        <w:jc w:val="center"/>
        <w:rPr>
          <w:rFonts w:ascii="Times New Roman" w:hAnsi="Times New Roman" w:cs="Times New Roman"/>
          <w:sz w:val="24"/>
          <w:szCs w:val="24"/>
        </w:rPr>
      </w:pPr>
      <w:r w:rsidRPr="00ED2E51">
        <w:rPr>
          <w:rFonts w:ascii="Times New Roman" w:hAnsi="Times New Roman" w:cs="Times New Roman"/>
          <w:sz w:val="24"/>
          <w:szCs w:val="24"/>
        </w:rPr>
        <w:t>Institution Affiliation</w:t>
      </w:r>
    </w:p>
    <w:p w:rsidR="00ED2E51" w:rsidRDefault="00ED2E51">
      <w:pPr>
        <w:rPr>
          <w:rFonts w:ascii="Times New Roman" w:hAnsi="Times New Roman" w:cs="Times New Roman"/>
          <w:b/>
          <w:sz w:val="24"/>
          <w:szCs w:val="24"/>
        </w:rPr>
      </w:pPr>
    </w:p>
    <w:p w:rsidR="00ED2E51" w:rsidRDefault="00ED2E51">
      <w:pPr>
        <w:rPr>
          <w:rFonts w:ascii="Times New Roman" w:hAnsi="Times New Roman" w:cs="Times New Roman"/>
          <w:b/>
          <w:sz w:val="24"/>
          <w:szCs w:val="24"/>
        </w:rPr>
      </w:pPr>
      <w:r>
        <w:rPr>
          <w:rFonts w:ascii="Times New Roman" w:hAnsi="Times New Roman" w:cs="Times New Roman"/>
          <w:b/>
          <w:sz w:val="24"/>
          <w:szCs w:val="24"/>
        </w:rPr>
        <w:br w:type="page"/>
      </w:r>
    </w:p>
    <w:p w:rsidR="00FC5A09" w:rsidRDefault="005732DA" w:rsidP="00234DD9">
      <w:pPr>
        <w:spacing w:after="0" w:line="480" w:lineRule="auto"/>
        <w:rPr>
          <w:rFonts w:ascii="Times New Roman" w:hAnsi="Times New Roman" w:cs="Times New Roman"/>
          <w:b/>
          <w:sz w:val="24"/>
          <w:szCs w:val="24"/>
        </w:rPr>
      </w:pPr>
      <w:bookmarkStart w:id="0" w:name="_GoBack"/>
      <w:bookmarkEnd w:id="0"/>
      <w:r w:rsidRPr="00234DD9">
        <w:rPr>
          <w:rFonts w:ascii="Times New Roman" w:hAnsi="Times New Roman" w:cs="Times New Roman"/>
          <w:b/>
          <w:sz w:val="24"/>
          <w:szCs w:val="24"/>
        </w:rPr>
        <w:lastRenderedPageBreak/>
        <w:t xml:space="preserve">Abstract </w:t>
      </w:r>
    </w:p>
    <w:p w:rsidR="00234DD9" w:rsidRPr="00F3478D" w:rsidRDefault="005732DA" w:rsidP="00234DD9">
      <w:pPr>
        <w:spacing w:after="0" w:line="480" w:lineRule="auto"/>
        <w:ind w:firstLine="720"/>
        <w:rPr>
          <w:rFonts w:ascii="Times New Roman" w:hAnsi="Times New Roman" w:cs="Times New Roman"/>
          <w:sz w:val="24"/>
          <w:szCs w:val="24"/>
        </w:rPr>
      </w:pPr>
      <w:r w:rsidRPr="00F3478D">
        <w:rPr>
          <w:rFonts w:ascii="Times New Roman" w:hAnsi="Times New Roman" w:cs="Times New Roman"/>
          <w:sz w:val="24"/>
          <w:szCs w:val="24"/>
        </w:rPr>
        <w:t>The Journal of AHIMA discusses the topic of maintaining a balance between Health Insurance Portability and Accountability (HIPAA), and Public safety.</w:t>
      </w:r>
      <w:r>
        <w:rPr>
          <w:rFonts w:ascii="Times New Roman" w:hAnsi="Times New Roman" w:cs="Times New Roman"/>
          <w:sz w:val="24"/>
          <w:szCs w:val="24"/>
        </w:rPr>
        <w:t xml:space="preserve"> </w:t>
      </w:r>
      <w:r w:rsidRPr="00F3478D">
        <w:rPr>
          <w:rFonts w:ascii="Times New Roman" w:hAnsi="Times New Roman" w:cs="Times New Roman"/>
          <w:sz w:val="24"/>
          <w:szCs w:val="24"/>
        </w:rPr>
        <w:t xml:space="preserve">In this article, the author argues that hospitals should recognize that dependence on the laws </w:t>
      </w:r>
      <w:r w:rsidRPr="00F3478D">
        <w:rPr>
          <w:rFonts w:ascii="Times New Roman" w:hAnsi="Times New Roman" w:cs="Times New Roman"/>
          <w:sz w:val="24"/>
          <w:szCs w:val="24"/>
        </w:rPr>
        <w:t>of the state where the hospital is established, and wrongful disclosure of information obtained during medical treatment, might lead to a claim to the hospital for damages as a result of unlawful disclosure of information. The article discusses the issue o</w:t>
      </w:r>
      <w:r w:rsidRPr="00F3478D">
        <w:rPr>
          <w:rFonts w:ascii="Times New Roman" w:hAnsi="Times New Roman" w:cs="Times New Roman"/>
          <w:sz w:val="24"/>
          <w:szCs w:val="24"/>
        </w:rPr>
        <w:t>f maintaining a balance between public safety and HIPAA act by giving examples of claims against hospitals</w:t>
      </w:r>
      <w:r>
        <w:rPr>
          <w:rFonts w:ascii="Times New Roman" w:hAnsi="Times New Roman" w:cs="Times New Roman"/>
          <w:sz w:val="24"/>
          <w:szCs w:val="24"/>
        </w:rPr>
        <w:t xml:space="preserve"> </w:t>
      </w:r>
      <w:r w:rsidRPr="00F3478D">
        <w:rPr>
          <w:rFonts w:ascii="Times New Roman" w:hAnsi="Times New Roman" w:cs="Times New Roman"/>
          <w:sz w:val="24"/>
          <w:szCs w:val="24"/>
        </w:rPr>
        <w:t>due to wrongful disclosure of patient's information and discussing case complications.</w:t>
      </w:r>
    </w:p>
    <w:p w:rsidR="00234DD9" w:rsidRDefault="005732DA" w:rsidP="00F17DC3">
      <w:pPr>
        <w:spacing w:after="0" w:line="480" w:lineRule="auto"/>
        <w:ind w:firstLine="720"/>
        <w:rPr>
          <w:rFonts w:ascii="Times New Roman" w:hAnsi="Times New Roman" w:cs="Times New Roman"/>
          <w:sz w:val="24"/>
          <w:szCs w:val="24"/>
        </w:rPr>
      </w:pPr>
      <w:r w:rsidRPr="00F3478D">
        <w:rPr>
          <w:rFonts w:ascii="Times New Roman" w:hAnsi="Times New Roman" w:cs="Times New Roman"/>
          <w:sz w:val="24"/>
          <w:szCs w:val="24"/>
        </w:rPr>
        <w:t>The first example is a claim against the Central Vermont Medic</w:t>
      </w:r>
      <w:r w:rsidRPr="00F3478D">
        <w:rPr>
          <w:rFonts w:ascii="Times New Roman" w:hAnsi="Times New Roman" w:cs="Times New Roman"/>
          <w:sz w:val="24"/>
          <w:szCs w:val="24"/>
        </w:rPr>
        <w:t>al Centre (CVMC) in Berlin, by a patient who claimed there was an unlawful disclosure of their personal information by a nurse at the hospital. The instance happened at 2.12 am when a nurse who was on duty at the emergency department received a patient who</w:t>
      </w:r>
      <w:r w:rsidRPr="00F3478D">
        <w:rPr>
          <w:rFonts w:ascii="Times New Roman" w:hAnsi="Times New Roman" w:cs="Times New Roman"/>
          <w:sz w:val="24"/>
          <w:szCs w:val="24"/>
        </w:rPr>
        <w:t xml:space="preserve"> had lacerated her arm and was drunk at the same time. </w:t>
      </w:r>
    </w:p>
    <w:p w:rsidR="00F17DC3" w:rsidRPr="00F3478D" w:rsidRDefault="005732DA" w:rsidP="00F17DC3">
      <w:pPr>
        <w:spacing w:after="0" w:line="480" w:lineRule="auto"/>
        <w:ind w:firstLine="720"/>
        <w:rPr>
          <w:rFonts w:ascii="Times New Roman" w:hAnsi="Times New Roman" w:cs="Times New Roman"/>
          <w:sz w:val="24"/>
          <w:szCs w:val="24"/>
        </w:rPr>
      </w:pPr>
      <w:r w:rsidRPr="00F3478D">
        <w:rPr>
          <w:rFonts w:ascii="Times New Roman" w:hAnsi="Times New Roman" w:cs="Times New Roman"/>
          <w:sz w:val="24"/>
          <w:szCs w:val="24"/>
        </w:rPr>
        <w:t xml:space="preserve">The article has given an example of a case complication scenario between the hospital and the plaintiff. A patient in the Avery Center had instructed the </w:t>
      </w:r>
      <w:r w:rsidR="00B62108" w:rsidRPr="00F3478D">
        <w:rPr>
          <w:rFonts w:ascii="Times New Roman" w:hAnsi="Times New Roman" w:cs="Times New Roman"/>
          <w:sz w:val="24"/>
          <w:szCs w:val="24"/>
        </w:rPr>
        <w:t>center</w:t>
      </w:r>
      <w:r w:rsidRPr="00F3478D">
        <w:rPr>
          <w:rFonts w:ascii="Times New Roman" w:hAnsi="Times New Roman" w:cs="Times New Roman"/>
          <w:sz w:val="24"/>
          <w:szCs w:val="24"/>
        </w:rPr>
        <w:t xml:space="preserve"> against releasing her medical record to</w:t>
      </w:r>
      <w:r w:rsidRPr="00F3478D">
        <w:rPr>
          <w:rFonts w:ascii="Times New Roman" w:hAnsi="Times New Roman" w:cs="Times New Roman"/>
          <w:sz w:val="24"/>
          <w:szCs w:val="24"/>
        </w:rPr>
        <w:t xml:space="preserve"> an individual who she had a personal relationship. The individual with the personal relationship with the patient filed for paternity actions against the patient in requests for documents related to gynecological and obstetrical care and treatment rendere</w:t>
      </w:r>
      <w:r w:rsidRPr="00F3478D">
        <w:rPr>
          <w:rFonts w:ascii="Times New Roman" w:hAnsi="Times New Roman" w:cs="Times New Roman"/>
          <w:sz w:val="24"/>
          <w:szCs w:val="24"/>
        </w:rPr>
        <w:t xml:space="preserve">d to the plaintiff by the Avery Center </w:t>
      </w:r>
      <w:r w:rsidRPr="00F3478D">
        <w:rPr>
          <w:rFonts w:ascii="Times New Roman" w:hAnsi="Times New Roman" w:cs="Times New Roman"/>
          <w:color w:val="000000"/>
          <w:sz w:val="24"/>
          <w:szCs w:val="24"/>
          <w:shd w:val="clear" w:color="auto" w:fill="FFFFFF"/>
        </w:rPr>
        <w:t>(Hedges, 2020)</w:t>
      </w:r>
      <w:r w:rsidRPr="00F3478D">
        <w:rPr>
          <w:rFonts w:ascii="Times New Roman" w:hAnsi="Times New Roman" w:cs="Times New Roman"/>
          <w:sz w:val="24"/>
          <w:szCs w:val="24"/>
        </w:rPr>
        <w:t>.</w:t>
      </w:r>
    </w:p>
    <w:p w:rsidR="00F17DC3" w:rsidRPr="00F3478D" w:rsidRDefault="005732DA" w:rsidP="00F17DC3">
      <w:pPr>
        <w:spacing w:after="0" w:line="480" w:lineRule="auto"/>
        <w:ind w:firstLine="720"/>
        <w:rPr>
          <w:rFonts w:ascii="Times New Roman" w:hAnsi="Times New Roman" w:cs="Times New Roman"/>
          <w:sz w:val="24"/>
          <w:szCs w:val="24"/>
        </w:rPr>
      </w:pPr>
      <w:r w:rsidRPr="00F3478D">
        <w:rPr>
          <w:rFonts w:ascii="Times New Roman" w:hAnsi="Times New Roman" w:cs="Times New Roman"/>
          <w:sz w:val="24"/>
          <w:szCs w:val="24"/>
        </w:rPr>
        <w:t xml:space="preserve">The article has given an example of a case complication scenario between the hospital and the plaintiff. A patient in the Avery Center had instructed the center against releasing her medical record to </w:t>
      </w:r>
      <w:r w:rsidRPr="00F3478D">
        <w:rPr>
          <w:rFonts w:ascii="Times New Roman" w:hAnsi="Times New Roman" w:cs="Times New Roman"/>
          <w:sz w:val="24"/>
          <w:szCs w:val="24"/>
        </w:rPr>
        <w:t>an individual who she had a personal relationship. The individual with the personal relationship with the patient filed for paternity actions against the patient in requests for documents related to gynecological and obstetrical care and treatment rendered</w:t>
      </w:r>
      <w:r w:rsidRPr="00F3478D">
        <w:rPr>
          <w:rFonts w:ascii="Times New Roman" w:hAnsi="Times New Roman" w:cs="Times New Roman"/>
          <w:sz w:val="24"/>
          <w:szCs w:val="24"/>
        </w:rPr>
        <w:t xml:space="preserve"> to the plaintiff by the Avery Center </w:t>
      </w:r>
      <w:r w:rsidRPr="00F3478D">
        <w:rPr>
          <w:rFonts w:ascii="Times New Roman" w:hAnsi="Times New Roman" w:cs="Times New Roman"/>
          <w:color w:val="000000"/>
          <w:sz w:val="24"/>
          <w:szCs w:val="24"/>
          <w:shd w:val="clear" w:color="auto" w:fill="FFFFFF"/>
        </w:rPr>
        <w:t>(Hedges, 2020)</w:t>
      </w:r>
      <w:r w:rsidRPr="00F3478D">
        <w:rPr>
          <w:rFonts w:ascii="Times New Roman" w:hAnsi="Times New Roman" w:cs="Times New Roman"/>
          <w:sz w:val="24"/>
          <w:szCs w:val="24"/>
        </w:rPr>
        <w:t>.</w:t>
      </w:r>
    </w:p>
    <w:p w:rsidR="00F17DC3" w:rsidRDefault="005732DA" w:rsidP="00F17DC3">
      <w:pPr>
        <w:spacing w:after="0" w:line="480" w:lineRule="auto"/>
        <w:rPr>
          <w:rFonts w:ascii="Times New Roman" w:hAnsi="Times New Roman" w:cs="Times New Roman"/>
          <w:b/>
          <w:sz w:val="24"/>
          <w:szCs w:val="24"/>
        </w:rPr>
      </w:pPr>
      <w:r w:rsidRPr="00F17DC3">
        <w:rPr>
          <w:rFonts w:ascii="Times New Roman" w:hAnsi="Times New Roman" w:cs="Times New Roman"/>
          <w:b/>
          <w:sz w:val="24"/>
          <w:szCs w:val="24"/>
        </w:rPr>
        <w:t xml:space="preserve">Body </w:t>
      </w:r>
    </w:p>
    <w:p w:rsidR="009F695D" w:rsidRPr="00F3478D" w:rsidRDefault="005732DA" w:rsidP="009F69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article can be described as a practical example as it is using real-life practical examples to discuss on the issue of maintaining a balance between HIPAA and public safety.</w:t>
      </w:r>
    </w:p>
    <w:p w:rsidR="001264E3" w:rsidRPr="00F3478D" w:rsidRDefault="005732DA" w:rsidP="001264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central theme of the article is to alert healthcare facilities on the possibility of facing a claim in the court of law in an instance when the organization is unlawfully releasing patient's information. The author gives the example of the claim by</w:t>
      </w:r>
      <w:r w:rsidRPr="00F3478D">
        <w:rPr>
          <w:rFonts w:ascii="Times New Roman" w:hAnsi="Times New Roman" w:cs="Times New Roman"/>
          <w:sz w:val="24"/>
          <w:szCs w:val="24"/>
        </w:rPr>
        <w:t xml:space="preserve"> a </w:t>
      </w:r>
      <w:r w:rsidRPr="00F3478D">
        <w:rPr>
          <w:rFonts w:ascii="Times New Roman" w:hAnsi="Times New Roman" w:cs="Times New Roman"/>
          <w:sz w:val="24"/>
          <w:szCs w:val="24"/>
        </w:rPr>
        <w:t>patient who claimed there was an unlawful disclosure of their personal informat</w:t>
      </w:r>
      <w:r>
        <w:rPr>
          <w:rFonts w:ascii="Times New Roman" w:hAnsi="Times New Roman" w:cs="Times New Roman"/>
          <w:sz w:val="24"/>
          <w:szCs w:val="24"/>
        </w:rPr>
        <w:t xml:space="preserve">ion by a nurse at the hospital against Centre Vermont Medical Centre (CVMC). </w:t>
      </w:r>
      <w:r w:rsidRPr="00F3478D">
        <w:rPr>
          <w:rFonts w:ascii="Times New Roman" w:hAnsi="Times New Roman" w:cs="Times New Roman"/>
          <w:sz w:val="24"/>
          <w:szCs w:val="24"/>
        </w:rPr>
        <w:t>Upon realization of an alcoholic odor from the patient, there was an administration of an alcohol te</w:t>
      </w:r>
      <w:r w:rsidRPr="00F3478D">
        <w:rPr>
          <w:rFonts w:ascii="Times New Roman" w:hAnsi="Times New Roman" w:cs="Times New Roman"/>
          <w:sz w:val="24"/>
          <w:szCs w:val="24"/>
        </w:rPr>
        <w:t>st. The result of the alcohol test showed that the patient had a .215 concentration of alcohol in their blood, which is more than the limit for legal intoxication in Vermont. The patient was discharged at 3.05 am, after their treatment. The nurse on duty r</w:t>
      </w:r>
      <w:r w:rsidRPr="00F3478D">
        <w:rPr>
          <w:rFonts w:ascii="Times New Roman" w:hAnsi="Times New Roman" w:cs="Times New Roman"/>
          <w:sz w:val="24"/>
          <w:szCs w:val="24"/>
        </w:rPr>
        <w:t>eported to the police officer on duty about the condition of the patient, which resulted in the arrest of the patient.</w:t>
      </w:r>
    </w:p>
    <w:p w:rsidR="001264E3" w:rsidRPr="00F3478D" w:rsidRDefault="005732DA" w:rsidP="001264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support of the argument of ruling in favor of the hospital, the author explains the ruling. </w:t>
      </w:r>
      <w:r w:rsidRPr="00F3478D">
        <w:rPr>
          <w:rFonts w:ascii="Times New Roman" w:hAnsi="Times New Roman" w:cs="Times New Roman"/>
          <w:sz w:val="24"/>
          <w:szCs w:val="24"/>
        </w:rPr>
        <w:t>In the court, the prosecutor dismissed th</w:t>
      </w:r>
      <w:r w:rsidRPr="00F3478D">
        <w:rPr>
          <w:rFonts w:ascii="Times New Roman" w:hAnsi="Times New Roman" w:cs="Times New Roman"/>
          <w:sz w:val="24"/>
          <w:szCs w:val="24"/>
        </w:rPr>
        <w:t>e resulting criminal charge. The plaintiff, who was the injured patient, made a charge claiming that the unlawful disclosure of her information by the nurse to the police officer on duty was one of the leading causes of her injuries. The defendant, who was</w:t>
      </w:r>
      <w:r w:rsidRPr="00F3478D">
        <w:rPr>
          <w:rFonts w:ascii="Times New Roman" w:hAnsi="Times New Roman" w:cs="Times New Roman"/>
          <w:sz w:val="24"/>
          <w:szCs w:val="24"/>
        </w:rPr>
        <w:t xml:space="preserve"> the CVMC hospital, was granted summary judgment. A court gives a summary judgment in a situation when the court concludes that there is no genuine issue of material fact to be decided by a jury and if the moving party is entitled to a judgment a matter of</w:t>
      </w:r>
      <w:r w:rsidRPr="00F3478D">
        <w:rPr>
          <w:rFonts w:ascii="Times New Roman" w:hAnsi="Times New Roman" w:cs="Times New Roman"/>
          <w:sz w:val="24"/>
          <w:szCs w:val="24"/>
        </w:rPr>
        <w:t xml:space="preserve"> law </w:t>
      </w:r>
      <w:r w:rsidRPr="00F3478D">
        <w:rPr>
          <w:rFonts w:ascii="Times New Roman" w:hAnsi="Times New Roman" w:cs="Times New Roman"/>
          <w:color w:val="000000"/>
          <w:sz w:val="24"/>
          <w:szCs w:val="24"/>
          <w:shd w:val="clear" w:color="auto" w:fill="FFFFFF"/>
        </w:rPr>
        <w:t>(Hedges, 2020)</w:t>
      </w:r>
      <w:r w:rsidRPr="00F3478D">
        <w:rPr>
          <w:rFonts w:ascii="Times New Roman" w:hAnsi="Times New Roman" w:cs="Times New Roman"/>
          <w:sz w:val="24"/>
          <w:szCs w:val="24"/>
        </w:rPr>
        <w:t xml:space="preserve">. </w:t>
      </w:r>
    </w:p>
    <w:p w:rsidR="001264E3" w:rsidRPr="00F3478D" w:rsidRDefault="005732DA" w:rsidP="001264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Different key ideas, such as summary ruling, have been defined in the article. </w:t>
      </w:r>
      <w:r w:rsidRPr="00F3478D">
        <w:rPr>
          <w:rFonts w:ascii="Times New Roman" w:hAnsi="Times New Roman" w:cs="Times New Roman"/>
          <w:sz w:val="24"/>
          <w:szCs w:val="24"/>
        </w:rPr>
        <w:t>A court gives a summary judgment in a situation when the court concludes that there is no genuine issue of material fact to be decided by a jury and if th</w:t>
      </w:r>
      <w:r w:rsidRPr="00F3478D">
        <w:rPr>
          <w:rFonts w:ascii="Times New Roman" w:hAnsi="Times New Roman" w:cs="Times New Roman"/>
          <w:sz w:val="24"/>
          <w:szCs w:val="24"/>
        </w:rPr>
        <w:t xml:space="preserve">e moving party is entitled to a judgment a matter of law </w:t>
      </w:r>
      <w:r w:rsidRPr="00F3478D">
        <w:rPr>
          <w:rFonts w:ascii="Times New Roman" w:hAnsi="Times New Roman" w:cs="Times New Roman"/>
          <w:color w:val="000000"/>
          <w:sz w:val="24"/>
          <w:szCs w:val="24"/>
          <w:shd w:val="clear" w:color="auto" w:fill="FFFFFF"/>
        </w:rPr>
        <w:t>(Hedges, 2020)</w:t>
      </w:r>
      <w:r w:rsidRPr="00F3478D">
        <w:rPr>
          <w:rFonts w:ascii="Times New Roman" w:hAnsi="Times New Roman" w:cs="Times New Roman"/>
          <w:sz w:val="24"/>
          <w:szCs w:val="24"/>
        </w:rPr>
        <w:t xml:space="preserve">. </w:t>
      </w:r>
    </w:p>
    <w:p w:rsidR="00387D23" w:rsidRDefault="005732DA" w:rsidP="00387D2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146BE">
        <w:rPr>
          <w:rFonts w:ascii="Times New Roman" w:hAnsi="Times New Roman" w:cs="Times New Roman"/>
          <w:sz w:val="24"/>
          <w:szCs w:val="24"/>
        </w:rPr>
        <w:t xml:space="preserve">In this article, the author uses real-life examples to support his discussion of having a balance between HIPAA and public health safety. </w:t>
      </w:r>
      <w:r>
        <w:rPr>
          <w:rFonts w:ascii="Times New Roman" w:hAnsi="Times New Roman" w:cs="Times New Roman"/>
          <w:sz w:val="24"/>
          <w:szCs w:val="24"/>
        </w:rPr>
        <w:t xml:space="preserve">There is no presentation of any weaknesses </w:t>
      </w:r>
      <w:r>
        <w:rPr>
          <w:rFonts w:ascii="Times New Roman" w:hAnsi="Times New Roman" w:cs="Times New Roman"/>
          <w:sz w:val="24"/>
          <w:szCs w:val="24"/>
        </w:rPr>
        <w:t xml:space="preserve">of strength concerning the topic of study. The author has, however, provided recommendations to healthcare providers </w:t>
      </w:r>
      <w:r w:rsidRPr="00F3478D">
        <w:rPr>
          <w:rFonts w:ascii="Times New Roman" w:hAnsi="Times New Roman" w:cs="Times New Roman"/>
          <w:sz w:val="24"/>
          <w:szCs w:val="24"/>
        </w:rPr>
        <w:t>implement procedures in which will help the organization to respond to the request of the release of information as per the HIPPA regulatio</w:t>
      </w:r>
      <w:r w:rsidRPr="00F3478D">
        <w:rPr>
          <w:rFonts w:ascii="Times New Roman" w:hAnsi="Times New Roman" w:cs="Times New Roman"/>
          <w:sz w:val="24"/>
          <w:szCs w:val="24"/>
        </w:rPr>
        <w:t xml:space="preserve">ns. </w:t>
      </w:r>
    </w:p>
    <w:p w:rsidR="00387D23" w:rsidRDefault="005732DA" w:rsidP="007F61EC">
      <w:pPr>
        <w:spacing w:after="0" w:line="480" w:lineRule="auto"/>
        <w:jc w:val="center"/>
        <w:rPr>
          <w:rFonts w:ascii="Times New Roman" w:hAnsi="Times New Roman" w:cs="Times New Roman"/>
          <w:b/>
          <w:sz w:val="24"/>
          <w:szCs w:val="24"/>
        </w:rPr>
      </w:pPr>
      <w:r w:rsidRPr="007F61EC">
        <w:rPr>
          <w:rFonts w:ascii="Times New Roman" w:hAnsi="Times New Roman" w:cs="Times New Roman"/>
          <w:b/>
          <w:sz w:val="24"/>
          <w:szCs w:val="24"/>
        </w:rPr>
        <w:t>Conclusion</w:t>
      </w:r>
    </w:p>
    <w:p w:rsidR="00692820" w:rsidRPr="00F3478D" w:rsidRDefault="005732DA" w:rsidP="006928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is fluent and easy to read for the readers as the author has discussed all the key ideas in </w:t>
      </w:r>
      <w:r w:rsidR="002666BD">
        <w:rPr>
          <w:rFonts w:ascii="Times New Roman" w:hAnsi="Times New Roman" w:cs="Times New Roman"/>
          <w:sz w:val="24"/>
          <w:szCs w:val="24"/>
        </w:rPr>
        <w:t>a systematic way that is</w:t>
      </w:r>
      <w:r>
        <w:rPr>
          <w:rFonts w:ascii="Times New Roman" w:hAnsi="Times New Roman" w:cs="Times New Roman"/>
          <w:sz w:val="24"/>
          <w:szCs w:val="24"/>
        </w:rPr>
        <w:t xml:space="preserve"> elaborative. </w:t>
      </w:r>
      <w:r w:rsidR="002666BD">
        <w:rPr>
          <w:rFonts w:ascii="Times New Roman" w:hAnsi="Times New Roman" w:cs="Times New Roman"/>
          <w:sz w:val="24"/>
          <w:szCs w:val="24"/>
        </w:rPr>
        <w:t xml:space="preserve">The information is essential to me as I was able to gain knowledge on how a court rules in a case presented against healthcare organizations. </w:t>
      </w:r>
      <w:r>
        <w:rPr>
          <w:rFonts w:ascii="Times New Roman" w:hAnsi="Times New Roman" w:cs="Times New Roman"/>
          <w:sz w:val="24"/>
          <w:szCs w:val="24"/>
        </w:rPr>
        <w:t xml:space="preserve">The contrary ruling by the </w:t>
      </w:r>
      <w:r w:rsidRPr="00F3478D">
        <w:rPr>
          <w:rFonts w:ascii="Times New Roman" w:hAnsi="Times New Roman" w:cs="Times New Roman"/>
          <w:sz w:val="24"/>
          <w:szCs w:val="24"/>
        </w:rPr>
        <w:t>Connecticut Supreme Court</w:t>
      </w:r>
      <w:r>
        <w:rPr>
          <w:rFonts w:ascii="Times New Roman" w:hAnsi="Times New Roman" w:cs="Times New Roman"/>
          <w:sz w:val="24"/>
          <w:szCs w:val="24"/>
        </w:rPr>
        <w:t xml:space="preserve"> was quite impressive. This is because, as the Avery Centre has breached the privacy of their patient, one can assume that the court would rule in favor of the </w:t>
      </w:r>
      <w:r>
        <w:rPr>
          <w:rFonts w:ascii="Times New Roman" w:hAnsi="Times New Roman" w:cs="Times New Roman"/>
          <w:sz w:val="24"/>
          <w:szCs w:val="24"/>
        </w:rPr>
        <w:t xml:space="preserve">patient. However, this was not the case as the court ruled in favor of the healthcare facility arguing that </w:t>
      </w:r>
      <w:r w:rsidRPr="00F3478D">
        <w:rPr>
          <w:rFonts w:ascii="Times New Roman" w:hAnsi="Times New Roman" w:cs="Times New Roman"/>
          <w:sz w:val="24"/>
          <w:szCs w:val="24"/>
        </w:rPr>
        <w:t xml:space="preserve">to the extent, Connecticut law grants permission to healthcare providers to go against their code of confidentiality as they comply with the summon </w:t>
      </w:r>
      <w:r w:rsidRPr="00F3478D">
        <w:rPr>
          <w:rFonts w:ascii="Times New Roman" w:hAnsi="Times New Roman" w:cs="Times New Roman"/>
          <w:sz w:val="24"/>
          <w:szCs w:val="24"/>
        </w:rPr>
        <w:t xml:space="preserve">by the court for a subpoena. HIPAA does not grant permission to the plaintiff's state common-law causes of action for negligence or negligent infliction of emotional distress </w:t>
      </w:r>
      <w:r w:rsidRPr="00F3478D">
        <w:rPr>
          <w:rFonts w:ascii="Times New Roman" w:hAnsi="Times New Roman" w:cs="Times New Roman"/>
          <w:color w:val="000000"/>
          <w:sz w:val="24"/>
          <w:szCs w:val="24"/>
          <w:shd w:val="clear" w:color="auto" w:fill="FFFFFF"/>
        </w:rPr>
        <w:t>(Hedges, 2020)</w:t>
      </w:r>
      <w:r w:rsidRPr="00F3478D">
        <w:rPr>
          <w:rFonts w:ascii="Times New Roman" w:hAnsi="Times New Roman" w:cs="Times New Roman"/>
          <w:sz w:val="24"/>
          <w:szCs w:val="24"/>
        </w:rPr>
        <w:t>.</w:t>
      </w:r>
    </w:p>
    <w:p w:rsidR="007F61EC" w:rsidRDefault="005732DA" w:rsidP="007F61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assess this as an impressive, practical, and educative </w:t>
      </w:r>
      <w:r>
        <w:rPr>
          <w:rFonts w:ascii="Times New Roman" w:hAnsi="Times New Roman" w:cs="Times New Roman"/>
          <w:sz w:val="24"/>
          <w:szCs w:val="24"/>
        </w:rPr>
        <w:t>article. The author is using well-researched examples to elaborate more on the topic of the study of the article.</w:t>
      </w: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Default="00692820" w:rsidP="007F61EC">
      <w:pPr>
        <w:spacing w:after="0" w:line="480" w:lineRule="auto"/>
        <w:ind w:firstLine="720"/>
        <w:rPr>
          <w:rFonts w:ascii="Times New Roman" w:hAnsi="Times New Roman" w:cs="Times New Roman"/>
          <w:sz w:val="24"/>
          <w:szCs w:val="24"/>
        </w:rPr>
      </w:pPr>
    </w:p>
    <w:p w:rsidR="00692820" w:rsidRPr="00F3478D" w:rsidRDefault="005732DA" w:rsidP="00692820">
      <w:pPr>
        <w:spacing w:after="0" w:line="480" w:lineRule="auto"/>
        <w:jc w:val="center"/>
        <w:rPr>
          <w:rFonts w:ascii="Times New Roman" w:hAnsi="Times New Roman" w:cs="Times New Roman"/>
          <w:sz w:val="24"/>
          <w:szCs w:val="24"/>
        </w:rPr>
      </w:pPr>
      <w:r w:rsidRPr="00F3478D">
        <w:rPr>
          <w:rFonts w:ascii="Times New Roman" w:hAnsi="Times New Roman" w:cs="Times New Roman"/>
          <w:sz w:val="24"/>
          <w:szCs w:val="24"/>
        </w:rPr>
        <w:t>Reference</w:t>
      </w:r>
    </w:p>
    <w:p w:rsidR="00692820" w:rsidRPr="007F61EC" w:rsidRDefault="005732DA" w:rsidP="009D1856">
      <w:pPr>
        <w:spacing w:after="0" w:line="480" w:lineRule="auto"/>
        <w:ind w:left="720" w:hanging="720"/>
        <w:rPr>
          <w:rFonts w:ascii="Times New Roman" w:hAnsi="Times New Roman" w:cs="Times New Roman"/>
          <w:sz w:val="24"/>
          <w:szCs w:val="24"/>
        </w:rPr>
      </w:pPr>
      <w:r w:rsidRPr="00F3478D">
        <w:rPr>
          <w:rFonts w:ascii="Times New Roman" w:hAnsi="Times New Roman" w:cs="Times New Roman"/>
          <w:color w:val="000000"/>
          <w:sz w:val="24"/>
          <w:szCs w:val="24"/>
          <w:shd w:val="clear" w:color="auto" w:fill="FFFFFF"/>
        </w:rPr>
        <w:t>Hedges, R. (2020). Balancing HIPAA and Public Safety. </w:t>
      </w:r>
      <w:r w:rsidRPr="00F3478D">
        <w:rPr>
          <w:rFonts w:ascii="Times New Roman" w:hAnsi="Times New Roman" w:cs="Times New Roman"/>
          <w:i/>
          <w:iCs/>
          <w:color w:val="000000"/>
          <w:sz w:val="24"/>
          <w:szCs w:val="24"/>
          <w:shd w:val="clear" w:color="auto" w:fill="FFFFFF"/>
        </w:rPr>
        <w:t>Journal Of AHIMA</w:t>
      </w:r>
      <w:r w:rsidRPr="00F3478D">
        <w:rPr>
          <w:rFonts w:ascii="Times New Roman" w:hAnsi="Times New Roman" w:cs="Times New Roman"/>
          <w:color w:val="000000"/>
          <w:sz w:val="24"/>
          <w:szCs w:val="24"/>
          <w:shd w:val="clear" w:color="auto" w:fill="FFFFFF"/>
        </w:rPr>
        <w:t xml:space="preserve">. Retrieved 19 April 2020, from </w:t>
      </w:r>
      <w:hyperlink r:id="rId7" w:history="1">
        <w:r w:rsidRPr="00F3478D">
          <w:rPr>
            <w:rStyle w:val="Hyperlink"/>
            <w:rFonts w:ascii="Times New Roman" w:hAnsi="Times New Roman" w:cs="Times New Roman"/>
            <w:sz w:val="24"/>
            <w:szCs w:val="24"/>
            <w:shd w:val="clear" w:color="auto" w:fill="FFFFFF"/>
          </w:rPr>
          <w:t>https://journal.ahima.org/balancing-hipaa-and-public-safety/</w:t>
        </w:r>
      </w:hyperlink>
      <w:r>
        <w:rPr>
          <w:rStyle w:val="Hyperlink"/>
          <w:rFonts w:ascii="Times New Roman" w:hAnsi="Times New Roman" w:cs="Times New Roman"/>
          <w:sz w:val="24"/>
          <w:szCs w:val="24"/>
          <w:shd w:val="clear" w:color="auto" w:fill="FFFFFF"/>
        </w:rPr>
        <w:t xml:space="preserve"> </w:t>
      </w:r>
    </w:p>
    <w:sectPr w:rsidR="00692820" w:rsidRPr="007F61EC" w:rsidSect="001D6B0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2DA" w:rsidRDefault="005732DA">
      <w:pPr>
        <w:spacing w:after="0" w:line="240" w:lineRule="auto"/>
      </w:pPr>
      <w:r>
        <w:separator/>
      </w:r>
    </w:p>
  </w:endnote>
  <w:endnote w:type="continuationSeparator" w:id="0">
    <w:p w:rsidR="005732DA" w:rsidRDefault="00573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2DA" w:rsidRDefault="005732DA">
      <w:pPr>
        <w:spacing w:after="0" w:line="240" w:lineRule="auto"/>
      </w:pPr>
      <w:r>
        <w:separator/>
      </w:r>
    </w:p>
  </w:footnote>
  <w:footnote w:type="continuationSeparator" w:id="0">
    <w:p w:rsidR="005732DA" w:rsidRDefault="00573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820" w:rsidRPr="00692820" w:rsidRDefault="005732DA" w:rsidP="00692820">
    <w:pPr>
      <w:pStyle w:val="Header"/>
      <w:spacing w:line="480" w:lineRule="auto"/>
      <w:rPr>
        <w:rFonts w:ascii="Times New Roman" w:hAnsi="Times New Roman" w:cs="Times New Roman"/>
        <w:sz w:val="24"/>
        <w:szCs w:val="24"/>
      </w:rPr>
    </w:pPr>
    <w:r w:rsidRPr="00692820">
      <w:rPr>
        <w:rFonts w:ascii="Times New Roman" w:hAnsi="Times New Roman" w:cs="Times New Roman"/>
        <w:sz w:val="24"/>
        <w:szCs w:val="24"/>
      </w:rPr>
      <w:t xml:space="preserve">BALANCING HIPAA AND PUBLIC SAFETY </w:t>
    </w:r>
    <w:r w:rsidRPr="00692820">
      <w:rPr>
        <w:rFonts w:ascii="Times New Roman" w:hAnsi="Times New Roman" w:cs="Times New Roman"/>
        <w:sz w:val="24"/>
        <w:szCs w:val="24"/>
      </w:rPr>
      <w:tab/>
    </w:r>
    <w:sdt>
      <w:sdtPr>
        <w:rPr>
          <w:rFonts w:ascii="Times New Roman" w:hAnsi="Times New Roman" w:cs="Times New Roman"/>
          <w:sz w:val="24"/>
          <w:szCs w:val="24"/>
        </w:rPr>
        <w:id w:val="-1070111200"/>
        <w:docPartObj>
          <w:docPartGallery w:val="Page Numbers (Top of Page)"/>
          <w:docPartUnique/>
        </w:docPartObj>
      </w:sdtPr>
      <w:sdtEndPr>
        <w:rPr>
          <w:noProof/>
        </w:rPr>
      </w:sdtEndPr>
      <w:sdtContent>
        <w:r w:rsidRPr="00692820">
          <w:rPr>
            <w:rFonts w:ascii="Times New Roman" w:hAnsi="Times New Roman" w:cs="Times New Roman"/>
            <w:sz w:val="24"/>
            <w:szCs w:val="24"/>
          </w:rPr>
          <w:fldChar w:fldCharType="begin"/>
        </w:r>
        <w:r w:rsidRPr="00692820">
          <w:rPr>
            <w:rFonts w:ascii="Times New Roman" w:hAnsi="Times New Roman" w:cs="Times New Roman"/>
            <w:sz w:val="24"/>
            <w:szCs w:val="24"/>
          </w:rPr>
          <w:instrText xml:space="preserve"> PAGE   \* MERGEFORMAT </w:instrText>
        </w:r>
        <w:r w:rsidRPr="00692820">
          <w:rPr>
            <w:rFonts w:ascii="Times New Roman" w:hAnsi="Times New Roman" w:cs="Times New Roman"/>
            <w:sz w:val="24"/>
            <w:szCs w:val="24"/>
          </w:rPr>
          <w:fldChar w:fldCharType="separate"/>
        </w:r>
        <w:r w:rsidR="00ED2E51">
          <w:rPr>
            <w:rFonts w:ascii="Times New Roman" w:hAnsi="Times New Roman" w:cs="Times New Roman"/>
            <w:noProof/>
            <w:sz w:val="24"/>
            <w:szCs w:val="24"/>
          </w:rPr>
          <w:t>5</w:t>
        </w:r>
        <w:r w:rsidRPr="00692820">
          <w:rPr>
            <w:rFonts w:ascii="Times New Roman" w:hAnsi="Times New Roman" w:cs="Times New Roman"/>
            <w:noProof/>
            <w:sz w:val="24"/>
            <w:szCs w:val="24"/>
          </w:rPr>
          <w:fldChar w:fldCharType="end"/>
        </w:r>
      </w:sdtContent>
    </w:sdt>
  </w:p>
  <w:p w:rsidR="001D6B0B" w:rsidRDefault="001D6B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B0B" w:rsidRPr="001D6B0B" w:rsidRDefault="005732DA" w:rsidP="001D6B0B">
    <w:pPr>
      <w:pStyle w:val="Header"/>
      <w:spacing w:line="480" w:lineRule="auto"/>
      <w:rPr>
        <w:rFonts w:ascii="Times New Roman" w:hAnsi="Times New Roman" w:cs="Times New Roman"/>
        <w:sz w:val="24"/>
        <w:szCs w:val="24"/>
      </w:rPr>
    </w:pPr>
    <w:r w:rsidRPr="001D6B0B">
      <w:rPr>
        <w:rFonts w:ascii="Times New Roman" w:hAnsi="Times New Roman" w:cs="Times New Roman"/>
        <w:sz w:val="24"/>
        <w:szCs w:val="24"/>
      </w:rPr>
      <w:t>Running head: BALANCING HIPAA AND PUBLIC SAFETY</w:t>
    </w:r>
    <w:r w:rsidRPr="001D6B0B">
      <w:rPr>
        <w:rFonts w:ascii="Times New Roman" w:hAnsi="Times New Roman" w:cs="Times New Roman"/>
        <w:sz w:val="24"/>
        <w:szCs w:val="24"/>
      </w:rPr>
      <w:tab/>
    </w:r>
    <w:sdt>
      <w:sdtPr>
        <w:rPr>
          <w:rFonts w:ascii="Times New Roman" w:hAnsi="Times New Roman" w:cs="Times New Roman"/>
          <w:sz w:val="24"/>
          <w:szCs w:val="24"/>
        </w:rPr>
        <w:id w:val="999316099"/>
        <w:docPartObj>
          <w:docPartGallery w:val="Page Numbers (Top of Page)"/>
          <w:docPartUnique/>
        </w:docPartObj>
      </w:sdtPr>
      <w:sdtEndPr>
        <w:rPr>
          <w:noProof/>
        </w:rPr>
      </w:sdtEndPr>
      <w:sdtContent>
        <w:r w:rsidRPr="001D6B0B">
          <w:rPr>
            <w:rFonts w:ascii="Times New Roman" w:hAnsi="Times New Roman" w:cs="Times New Roman"/>
            <w:sz w:val="24"/>
            <w:szCs w:val="24"/>
          </w:rPr>
          <w:fldChar w:fldCharType="begin"/>
        </w:r>
        <w:r w:rsidRPr="001D6B0B">
          <w:rPr>
            <w:rFonts w:ascii="Times New Roman" w:hAnsi="Times New Roman" w:cs="Times New Roman"/>
            <w:sz w:val="24"/>
            <w:szCs w:val="24"/>
          </w:rPr>
          <w:instrText xml:space="preserve"> PAGE   \* MERGEFORMAT </w:instrText>
        </w:r>
        <w:r w:rsidRPr="001D6B0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D6B0B">
          <w:rPr>
            <w:rFonts w:ascii="Times New Roman" w:hAnsi="Times New Roman" w:cs="Times New Roman"/>
            <w:noProof/>
            <w:sz w:val="24"/>
            <w:szCs w:val="24"/>
          </w:rPr>
          <w:fldChar w:fldCharType="end"/>
        </w:r>
      </w:sdtContent>
    </w:sdt>
  </w:p>
  <w:p w:rsidR="001D6B0B" w:rsidRDefault="001D6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B0B"/>
    <w:rsid w:val="001264E3"/>
    <w:rsid w:val="001D6B0B"/>
    <w:rsid w:val="00234DD9"/>
    <w:rsid w:val="002666BD"/>
    <w:rsid w:val="00387D23"/>
    <w:rsid w:val="005732DA"/>
    <w:rsid w:val="00692820"/>
    <w:rsid w:val="007F61EC"/>
    <w:rsid w:val="008146BE"/>
    <w:rsid w:val="009D1856"/>
    <w:rsid w:val="009F695D"/>
    <w:rsid w:val="00B62108"/>
    <w:rsid w:val="00C0612F"/>
    <w:rsid w:val="00ED2E51"/>
    <w:rsid w:val="00F17DC3"/>
    <w:rsid w:val="00F3478D"/>
    <w:rsid w:val="00FC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B0B"/>
  </w:style>
  <w:style w:type="paragraph" w:styleId="Footer">
    <w:name w:val="footer"/>
    <w:basedOn w:val="Normal"/>
    <w:link w:val="FooterChar"/>
    <w:uiPriority w:val="99"/>
    <w:unhideWhenUsed/>
    <w:rsid w:val="001D6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B0B"/>
  </w:style>
  <w:style w:type="paragraph" w:styleId="BalloonText">
    <w:name w:val="Balloon Text"/>
    <w:basedOn w:val="Normal"/>
    <w:link w:val="BalloonTextChar"/>
    <w:uiPriority w:val="99"/>
    <w:semiHidden/>
    <w:unhideWhenUsed/>
    <w:rsid w:val="001D6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B0B"/>
    <w:rPr>
      <w:rFonts w:ascii="Tahoma" w:hAnsi="Tahoma" w:cs="Tahoma"/>
      <w:sz w:val="16"/>
      <w:szCs w:val="16"/>
    </w:rPr>
  </w:style>
  <w:style w:type="character" w:styleId="Hyperlink">
    <w:name w:val="Hyperlink"/>
    <w:basedOn w:val="DefaultParagraphFont"/>
    <w:uiPriority w:val="99"/>
    <w:unhideWhenUsed/>
    <w:rsid w:val="006928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B0B"/>
  </w:style>
  <w:style w:type="paragraph" w:styleId="Footer">
    <w:name w:val="footer"/>
    <w:basedOn w:val="Normal"/>
    <w:link w:val="FooterChar"/>
    <w:uiPriority w:val="99"/>
    <w:unhideWhenUsed/>
    <w:rsid w:val="001D6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B0B"/>
  </w:style>
  <w:style w:type="paragraph" w:styleId="BalloonText">
    <w:name w:val="Balloon Text"/>
    <w:basedOn w:val="Normal"/>
    <w:link w:val="BalloonTextChar"/>
    <w:uiPriority w:val="99"/>
    <w:semiHidden/>
    <w:unhideWhenUsed/>
    <w:rsid w:val="001D6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B0B"/>
    <w:rPr>
      <w:rFonts w:ascii="Tahoma" w:hAnsi="Tahoma" w:cs="Tahoma"/>
      <w:sz w:val="16"/>
      <w:szCs w:val="16"/>
    </w:rPr>
  </w:style>
  <w:style w:type="character" w:styleId="Hyperlink">
    <w:name w:val="Hyperlink"/>
    <w:basedOn w:val="DefaultParagraphFont"/>
    <w:uiPriority w:val="99"/>
    <w:unhideWhenUsed/>
    <w:rsid w:val="006928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ahima.org/balancing-hipaa-and-public-safe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2020-04-19T18:32:00Z</dcterms:created>
  <dcterms:modified xsi:type="dcterms:W3CDTF">2020-04-19T18:32:00Z</dcterms:modified>
</cp:coreProperties>
</file>